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93" w:rsidRDefault="00144FA2" w:rsidP="00807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Постановление №24</w:t>
      </w:r>
    </w:p>
    <w:p w:rsidR="00807193" w:rsidRDefault="00144FA2" w:rsidP="00807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п.45.подп.В</w:t>
      </w:r>
    </w:p>
    <w:p w:rsidR="00807193" w:rsidRDefault="00144FA2" w:rsidP="0080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Форма раскрытия информации</w:t>
      </w:r>
    </w:p>
    <w:p w:rsidR="00807193" w:rsidRDefault="00144FA2" w:rsidP="0080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гарантирующим поставщиком основных условиях договора</w:t>
      </w:r>
    </w:p>
    <w:p w:rsidR="00807193" w:rsidRDefault="00144FA2" w:rsidP="0080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купли – продажи электрической энергии (энергоснабжения)</w:t>
      </w:r>
    </w:p>
    <w:p w:rsidR="00807193" w:rsidRDefault="00807193" w:rsidP="0080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1158"/>
        <w:gridCol w:w="3675"/>
        <w:gridCol w:w="6914"/>
      </w:tblGrid>
      <w:tr w:rsidR="007337F6" w:rsidTr="00807193">
        <w:trPr>
          <w:trHeight w:val="658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Информация о деятельности гарантирующего поставщика,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энергоснабжающей организации и энергосбытовой организации</w:t>
            </w: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Информация о гарантирующем поставщике, включая зону его обслуживания, место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нахождения, почтовый адрес, телефоны, факс и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Default="00144FA2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AEB">
              <w:rPr>
                <w:rFonts w:ascii="Arial" w:hAnsi="Arial" w:cs="Arial"/>
                <w:color w:val="000000"/>
                <w:sz w:val="20"/>
                <w:szCs w:val="20"/>
              </w:rPr>
              <w:t>АО «ЮТЭК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 является</w:t>
            </w:r>
            <w:r w:rsidRPr="00F43AEB">
              <w:rPr>
                <w:rFonts w:ascii="Arial" w:hAnsi="Arial" w:cs="Arial"/>
                <w:color w:val="000000"/>
                <w:sz w:val="20"/>
                <w:szCs w:val="20"/>
              </w:rPr>
              <w:t xml:space="preserve"> гарантирующим поставщиком в Ханты-Мансийском автономном округе-Югре, в целях поставки своим потребителям (покупателям) осуществляет покупку электрической энергии и мощности на оптовом рынке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07193" w:rsidRDefault="00144FA2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Зона обслуживания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325B">
              <w:rPr>
                <w:rFonts w:ascii="Arial" w:hAnsi="Arial" w:cs="Arial"/>
                <w:sz w:val="20"/>
                <w:szCs w:val="20"/>
              </w:rPr>
              <w:t xml:space="preserve"> границах балансовой принадлежности электриче</w:t>
            </w:r>
            <w:r w:rsidRPr="00FD325B">
              <w:rPr>
                <w:rFonts w:ascii="Arial" w:hAnsi="Arial" w:cs="Arial"/>
                <w:sz w:val="20"/>
                <w:szCs w:val="20"/>
              </w:rPr>
              <w:t xml:space="preserve">ских сетей </w:t>
            </w:r>
            <w:r>
              <w:rPr>
                <w:rFonts w:ascii="Arial" w:hAnsi="Arial" w:cs="Arial"/>
                <w:sz w:val="20"/>
                <w:szCs w:val="20"/>
              </w:rPr>
              <w:t>акционерного общества "Тюменьэнерго",</w:t>
            </w:r>
            <w:r w:rsidRPr="00801D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акционерного общества</w:t>
            </w:r>
            <w:r w:rsidRPr="00801DC7">
              <w:rPr>
                <w:rFonts w:ascii="Arial" w:hAnsi="Arial" w:cs="Arial"/>
                <w:sz w:val="20"/>
                <w:szCs w:val="20"/>
              </w:rPr>
              <w:t xml:space="preserve"> "Радужнинские городские электрические сети" (г. Радужный)</w:t>
            </w:r>
            <w:r>
              <w:rPr>
                <w:rFonts w:ascii="Arial" w:hAnsi="Arial" w:cs="Arial"/>
                <w:sz w:val="20"/>
                <w:szCs w:val="20"/>
              </w:rPr>
              <w:t xml:space="preserve">, открытого акционерного общества «ЮТЭК-Региональные сети» (пгт. Новоаганск, с. Варьеган) согласно Приложению </w:t>
            </w:r>
            <w:r w:rsidRPr="00801DC7">
              <w:rPr>
                <w:rFonts w:ascii="Arial" w:hAnsi="Arial" w:cs="Arial"/>
                <w:sz w:val="20"/>
                <w:szCs w:val="20"/>
              </w:rPr>
              <w:t xml:space="preserve">к приказу </w:t>
            </w:r>
            <w:r w:rsidRPr="00801DC7">
              <w:rPr>
                <w:rFonts w:ascii="Arial" w:hAnsi="Arial" w:cs="Arial"/>
                <w:sz w:val="20"/>
                <w:szCs w:val="20"/>
              </w:rPr>
              <w:t>Департамента жилищно-коммунального комплекса и энергетики Ханты-Мансийского автономного округа - Югры от 14.11.2018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1DC7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 xml:space="preserve"> №33-Пр-181.</w:t>
            </w:r>
          </w:p>
          <w:p w:rsidR="00807193" w:rsidRPr="00F43AEB" w:rsidRDefault="00144FA2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Место нахождения: </w:t>
            </w:r>
            <w:r w:rsidRPr="00F43AEB">
              <w:rPr>
                <w:rFonts w:ascii="Arial" w:hAnsi="Arial" w:cs="Arial"/>
                <w:color w:val="000000"/>
                <w:sz w:val="20"/>
                <w:szCs w:val="20"/>
              </w:rPr>
              <w:t xml:space="preserve">628011 РФ, Тюменская область, Ханты-Мансийский автономный округ - Югра, г. Ханты-Мансийск, </w:t>
            </w:r>
          </w:p>
          <w:p w:rsidR="00807193" w:rsidRDefault="00144FA2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AEB">
              <w:rPr>
                <w:rFonts w:ascii="Arial" w:hAnsi="Arial" w:cs="Arial"/>
                <w:color w:val="000000"/>
                <w:sz w:val="20"/>
                <w:szCs w:val="20"/>
              </w:rPr>
              <w:t>ул. Ленина, 52/</w:t>
            </w:r>
            <w:r w:rsidRPr="00F43AE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07193" w:rsidRPr="00F43AEB" w:rsidRDefault="00144FA2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Почтовый адрес: </w:t>
            </w:r>
            <w:r w:rsidRPr="00F43AEB">
              <w:rPr>
                <w:rFonts w:ascii="Arial" w:hAnsi="Arial" w:cs="Arial"/>
                <w:color w:val="000000"/>
                <w:sz w:val="20"/>
                <w:szCs w:val="20"/>
              </w:rPr>
              <w:t xml:space="preserve">628011 РФ, Тюменская область, Ханты-Мансийский автономный округ - Югра, г. Ханты-Мансийск, </w:t>
            </w:r>
          </w:p>
          <w:p w:rsidR="00807193" w:rsidRDefault="00144FA2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AEB">
              <w:rPr>
                <w:rFonts w:ascii="Arial" w:hAnsi="Arial" w:cs="Arial"/>
                <w:color w:val="000000"/>
                <w:sz w:val="20"/>
                <w:szCs w:val="20"/>
              </w:rPr>
              <w:t>ул. Ленина, 52/1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07193" w:rsidRDefault="00144FA2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Телефон: 8 (3467) 31-85-95</w:t>
            </w:r>
          </w:p>
          <w:p w:rsidR="00807193" w:rsidRDefault="00144FA2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Факс: 8 (3467) </w:t>
            </w:r>
            <w:r w:rsidRPr="00F43AEB">
              <w:rPr>
                <w:rFonts w:ascii="Arial" w:hAnsi="Arial" w:cs="Arial"/>
                <w:color w:val="000000"/>
                <w:sz w:val="20"/>
                <w:szCs w:val="20"/>
              </w:rPr>
              <w:t>36-40-04</w:t>
            </w:r>
          </w:p>
          <w:p w:rsidR="00807193" w:rsidRDefault="00144FA2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43AEB">
              <w:rPr>
                <w:rFonts w:ascii="Arial" w:hAnsi="Arial" w:cs="Arial"/>
                <w:color w:val="000000"/>
                <w:sz w:val="20"/>
                <w:szCs w:val="20"/>
              </w:rPr>
              <w:t>office@yutec.info</w:t>
            </w:r>
          </w:p>
          <w:p w:rsidR="00807193" w:rsidRPr="00F43AEB" w:rsidRDefault="00807193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7193" w:rsidRPr="00F43AEB" w:rsidRDefault="00807193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7193" w:rsidRPr="00436BAC" w:rsidRDefault="00807193" w:rsidP="00D03090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37F6" w:rsidTr="00D03090">
        <w:trPr>
          <w:trHeight w:val="337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Перечень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лицензий на осуществление соответствующего вида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144FA2" w:rsidP="00807193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Лицензия не требуется</w:t>
            </w:r>
          </w:p>
        </w:tc>
      </w:tr>
      <w:tr w:rsidR="007337F6" w:rsidTr="00807193">
        <w:trPr>
          <w:trHeight w:val="90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Информация о банковских реквизитах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F43AEB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EB">
              <w:rPr>
                <w:rFonts w:ascii="Arial" w:hAnsi="Arial" w:cs="Arial"/>
                <w:sz w:val="20"/>
                <w:szCs w:val="20"/>
              </w:rPr>
              <w:t>Западно-Сибирский банк ПАО «Сбербанк России» г.Тюмень</w:t>
            </w:r>
          </w:p>
          <w:p w:rsidR="00807193" w:rsidRPr="00F43AEB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EB">
              <w:rPr>
                <w:rFonts w:ascii="Arial" w:hAnsi="Arial" w:cs="Arial"/>
                <w:sz w:val="20"/>
                <w:szCs w:val="20"/>
              </w:rPr>
              <w:t>ИНН/КПП 7707083893/860102001</w:t>
            </w:r>
          </w:p>
          <w:p w:rsidR="00807193" w:rsidRPr="00F43AEB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EB">
              <w:rPr>
                <w:rFonts w:ascii="Arial" w:hAnsi="Arial" w:cs="Arial"/>
                <w:sz w:val="20"/>
                <w:szCs w:val="20"/>
              </w:rPr>
              <w:t xml:space="preserve">р/счет 40602810867460000020 </w:t>
            </w:r>
          </w:p>
          <w:p w:rsidR="00807193" w:rsidRPr="00F43AEB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AEB">
              <w:rPr>
                <w:rFonts w:ascii="Arial" w:hAnsi="Arial" w:cs="Arial"/>
                <w:sz w:val="20"/>
                <w:szCs w:val="20"/>
              </w:rPr>
              <w:t>БИК 047102651</w:t>
            </w:r>
          </w:p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43AEB">
              <w:rPr>
                <w:rFonts w:ascii="Arial" w:hAnsi="Arial" w:cs="Arial"/>
                <w:sz w:val="20"/>
                <w:szCs w:val="20"/>
              </w:rPr>
              <w:t>к/счет</w:t>
            </w:r>
            <w:r w:rsidRPr="00F43AEB">
              <w:rPr>
                <w:rFonts w:ascii="Arial" w:hAnsi="Arial" w:cs="Arial"/>
                <w:sz w:val="20"/>
                <w:szCs w:val="20"/>
              </w:rPr>
              <w:t xml:space="preserve"> 30101810800000000651</w:t>
            </w:r>
          </w:p>
        </w:tc>
      </w:tr>
      <w:tr w:rsidR="007337F6" w:rsidTr="00D03090"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807193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436BAC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Информация об изменении основных условий договора купли-продажи электрической энергии и условий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193" w:rsidRPr="005619C8" w:rsidRDefault="00144FA2" w:rsidP="00D03090">
            <w:pPr>
              <w:tabs>
                <w:tab w:val="left" w:pos="709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Договор может быть изменен или расторгнут по основаниям, предусмотренным гражданским законодательством Российс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кой Федерации и 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Основными положениями. 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Если за 30 дней до окончания срока действия договора, заключенного на определенный срок, потребителем (покупателем) внесено предложение об изменении договора или заключении нового договора, то отношения сторон до изме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нения договора или до заключения нового договора регулируются в соответствии с условиями ранее заключенного договора.</w:t>
            </w:r>
          </w:p>
          <w:p w:rsidR="00807193" w:rsidRPr="005619C8" w:rsidRDefault="00807193" w:rsidP="00D03090">
            <w:pPr>
              <w:tabs>
                <w:tab w:val="left" w:pos="709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7193" w:rsidRPr="00D91EB8" w:rsidRDefault="00144FA2" w:rsidP="00D0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sz w:val="20"/>
                <w:szCs w:val="20"/>
              </w:rPr>
              <w:t xml:space="preserve">В случае если по договору энергоснабжения (купли-продажи) электрической энергии, заключенному с гарантирующим поставщиком, </w:t>
            </w:r>
            <w:r w:rsidRPr="00D91EB8">
              <w:rPr>
                <w:rFonts w:ascii="Arial" w:hAnsi="Arial" w:cs="Arial"/>
                <w:sz w:val="20"/>
                <w:szCs w:val="20"/>
              </w:rPr>
              <w:t xml:space="preserve">потребителем (покупателем) не исполняются или исполняются ненадлежащим образом обязательства по оплате, то гарантирующий поставщик вправе в одностороннем порядке отказаться от исполнения договора полностью, уведомив такого потребителя (покупателя) об этом </w:t>
            </w:r>
            <w:r w:rsidRPr="00D91EB8">
              <w:rPr>
                <w:rFonts w:ascii="Arial" w:hAnsi="Arial" w:cs="Arial"/>
                <w:sz w:val="20"/>
                <w:szCs w:val="20"/>
              </w:rPr>
              <w:t xml:space="preserve">за 10 рабочих дней до заявляемой им даты отказа от договора. В случае если покупателем по договору энергоснабжения является исполнитель коммунальной услуги указанное извещение направляется в адрес указанных лиц за 30 дней. </w:t>
            </w:r>
          </w:p>
          <w:p w:rsidR="00807193" w:rsidRPr="00D91EB8" w:rsidRDefault="00807193" w:rsidP="00D03090">
            <w:pPr>
              <w:tabs>
                <w:tab w:val="left" w:pos="709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7193" w:rsidRPr="005619C8" w:rsidRDefault="00144FA2" w:rsidP="00D030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EB8">
              <w:rPr>
                <w:rFonts w:ascii="Arial" w:hAnsi="Arial" w:cs="Arial"/>
                <w:sz w:val="20"/>
                <w:szCs w:val="20"/>
              </w:rPr>
              <w:t>По договору с гарантирующим пос</w:t>
            </w:r>
            <w:r w:rsidRPr="00D91EB8">
              <w:rPr>
                <w:rFonts w:ascii="Arial" w:hAnsi="Arial" w:cs="Arial"/>
                <w:sz w:val="20"/>
                <w:szCs w:val="20"/>
              </w:rPr>
              <w:t>тавщиком потребитель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 (покупатель) </w:t>
            </w:r>
            <w:r w:rsidRPr="005619C8">
              <w:rPr>
                <w:rFonts w:ascii="Arial" w:hAnsi="Arial" w:cs="Arial"/>
                <w:sz w:val="20"/>
                <w:szCs w:val="20"/>
              </w:rPr>
              <w:lastRenderedPageBreak/>
              <w:t xml:space="preserve">вправе в одностороннем порядке отказаться от исполнения договора полностью, что влечет расторжение такого договора, при условии оплаты гарантирующему поставщику не </w:t>
            </w:r>
            <w:proofErr w:type="gramStart"/>
            <w:r w:rsidRPr="005619C8">
              <w:rPr>
                <w:rFonts w:ascii="Arial" w:hAnsi="Arial" w:cs="Arial"/>
                <w:sz w:val="20"/>
                <w:szCs w:val="20"/>
              </w:rPr>
              <w:t>позднее</w:t>
            </w:r>
            <w:proofErr w:type="gramEnd"/>
            <w:r w:rsidRPr="005619C8">
              <w:rPr>
                <w:rFonts w:ascii="Arial" w:hAnsi="Arial" w:cs="Arial"/>
                <w:sz w:val="20"/>
                <w:szCs w:val="20"/>
              </w:rPr>
              <w:t xml:space="preserve"> чем за 10 рабочих дней до заявляемой им даты расто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ржения договора стоимости потребленной электрической энергии (мощности), а также в случаях, предусмотренных в </w:t>
            </w:r>
            <w:hyperlink r:id="rId10" w:history="1">
              <w:r w:rsidRPr="005619C8">
                <w:rPr>
                  <w:rFonts w:ascii="Arial" w:hAnsi="Arial" w:cs="Arial"/>
                  <w:sz w:val="20"/>
                  <w:szCs w:val="20"/>
                </w:rPr>
                <w:t>пунктом 85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Осно</w:t>
            </w:r>
            <w:r w:rsidRPr="005619C8">
              <w:rPr>
                <w:rFonts w:ascii="Arial" w:hAnsi="Arial" w:cs="Arial"/>
                <w:sz w:val="20"/>
                <w:szCs w:val="20"/>
              </w:rPr>
              <w:t>вных положений,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гарантирующим поставщиком.</w:t>
            </w:r>
          </w:p>
          <w:p w:rsidR="00807193" w:rsidRPr="005619C8" w:rsidRDefault="00144FA2" w:rsidP="00D030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sz w:val="20"/>
                <w:szCs w:val="20"/>
              </w:rPr>
              <w:t xml:space="preserve">Потребитель (покупатель), имеющий намерение в </w:t>
            </w:r>
            <w:r w:rsidRPr="005619C8">
              <w:rPr>
                <w:rFonts w:ascii="Arial" w:hAnsi="Arial" w:cs="Arial"/>
                <w:sz w:val="20"/>
                <w:szCs w:val="20"/>
              </w:rPr>
              <w:t>соответствии с Основными положениями в одностороннем порядке отказаться от исполнения договора энергоснабжения (купли-продажи (поставки) электрической энергии (мощности)) с гарантирующим поставщиком полностью или уменьшить объемы электрической энергии (мощ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ности), приобретаемые у гарантирующего поставщика,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</w:t>
            </w:r>
            <w:r w:rsidRPr="005619C8">
              <w:rPr>
                <w:rFonts w:ascii="Arial" w:hAnsi="Arial" w:cs="Arial"/>
                <w:sz w:val="20"/>
                <w:szCs w:val="20"/>
              </w:rPr>
              <w:t>дату получения указанного уведомления.</w:t>
            </w:r>
          </w:p>
          <w:p w:rsidR="00807193" w:rsidRPr="005619C8" w:rsidRDefault="00144FA2" w:rsidP="00D030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sz w:val="20"/>
                <w:szCs w:val="20"/>
              </w:rPr>
              <w:t xml:space="preserve">При нарушении потребителем (покупателем) требований об уведомлении гарантирующего поставщика в установленные сроки и (или) при нарушении им требования о выполнении условий, предусмотренных </w:t>
            </w:r>
            <w:hyperlink r:id="rId11" w:history="1">
              <w:r w:rsidRPr="005619C8">
                <w:rPr>
                  <w:rFonts w:ascii="Arial" w:hAnsi="Arial" w:cs="Arial"/>
                  <w:sz w:val="20"/>
                  <w:szCs w:val="20"/>
                </w:rPr>
                <w:t>пунктами 49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hyperlink r:id="rId12" w:history="1">
              <w:r w:rsidRPr="005619C8">
                <w:rPr>
                  <w:rFonts w:ascii="Arial" w:hAnsi="Arial" w:cs="Arial"/>
                  <w:sz w:val="20"/>
                  <w:szCs w:val="20"/>
                </w:rPr>
                <w:t>50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Осн</w:t>
            </w:r>
            <w:r w:rsidRPr="005619C8">
              <w:rPr>
                <w:rFonts w:ascii="Arial" w:hAnsi="Arial" w:cs="Arial"/>
                <w:sz w:val="20"/>
                <w:szCs w:val="20"/>
              </w:rPr>
              <w:t>овных положений (оплата, потребленной электрической энергии (мощности);  оплата суммы компенсации, в случаях, предусмотренных действующим законодательством), определенные заключенным с гарантирующим поставщиком договором обязательства потребителя (покупате</w:t>
            </w:r>
            <w:r w:rsidRPr="005619C8">
              <w:rPr>
                <w:rFonts w:ascii="Arial" w:hAnsi="Arial" w:cs="Arial"/>
                <w:sz w:val="20"/>
                <w:szCs w:val="20"/>
              </w:rPr>
              <w:t>ля) и гарантирующего поставщика сохраняются в неизменном виде вплоть до момента надлежащего выполнения указанных требований.</w:t>
            </w:r>
          </w:p>
          <w:p w:rsidR="00807193" w:rsidRPr="005619C8" w:rsidRDefault="00144FA2" w:rsidP="00D030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19C8">
              <w:rPr>
                <w:rFonts w:ascii="Arial" w:hAnsi="Arial" w:cs="Arial"/>
                <w:sz w:val="20"/>
                <w:szCs w:val="20"/>
              </w:rPr>
              <w:t xml:space="preserve">В случае если гарантирующий поставщик не выставил счет в порядке, предусмотренном </w:t>
            </w:r>
            <w:hyperlink r:id="rId13" w:history="1">
              <w:r w:rsidRPr="005619C8">
                <w:rPr>
                  <w:rFonts w:ascii="Arial" w:hAnsi="Arial" w:cs="Arial"/>
                  <w:sz w:val="20"/>
                  <w:szCs w:val="20"/>
                </w:rPr>
                <w:t>пунктом 85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Основных положений, и при этом потребитель (покупатель) выполнил в установленные сроки иные, указанные в </w:t>
            </w:r>
            <w:hyperlink r:id="rId14" w:history="1">
              <w:r w:rsidRPr="005619C8">
                <w:rPr>
                  <w:rFonts w:ascii="Arial" w:hAnsi="Arial" w:cs="Arial"/>
                  <w:sz w:val="20"/>
                  <w:szCs w:val="20"/>
                </w:rPr>
                <w:t>пункте 49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hyperlink r:id="rId15" w:history="1">
              <w:r w:rsidRPr="005619C8">
                <w:rPr>
                  <w:rFonts w:ascii="Arial" w:hAnsi="Arial" w:cs="Arial"/>
                  <w:sz w:val="20"/>
                  <w:szCs w:val="20"/>
                </w:rPr>
                <w:t>50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 основных положений требования, то </w:t>
            </w:r>
            <w:r w:rsidRPr="005619C8">
              <w:rPr>
                <w:rFonts w:ascii="Arial" w:hAnsi="Arial" w:cs="Arial"/>
                <w:sz w:val="20"/>
                <w:szCs w:val="20"/>
              </w:rPr>
              <w:t>от потребителя (покупателя)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(покупателем) даты</w:t>
            </w:r>
            <w:proofErr w:type="gramEnd"/>
            <w:r w:rsidRPr="005619C8">
              <w:rPr>
                <w:rFonts w:ascii="Arial" w:hAnsi="Arial" w:cs="Arial"/>
                <w:sz w:val="20"/>
                <w:szCs w:val="20"/>
              </w:rPr>
              <w:t xml:space="preserve">, что не освобождает потребителя (покупателя) от </w:t>
            </w:r>
            <w:r w:rsidRPr="005619C8">
              <w:rPr>
                <w:rFonts w:ascii="Arial" w:hAnsi="Arial" w:cs="Arial"/>
                <w:sz w:val="20"/>
                <w:szCs w:val="20"/>
              </w:rPr>
              <w:lastRenderedPageBreak/>
              <w:t>обяз</w:t>
            </w:r>
            <w:r w:rsidRPr="005619C8">
              <w:rPr>
                <w:rFonts w:ascii="Arial" w:hAnsi="Arial" w:cs="Arial"/>
                <w:sz w:val="20"/>
                <w:szCs w:val="20"/>
              </w:rPr>
              <w:t>анности в дальнейшем оплатить гарантирующему поставщику имеющуюся задолженность.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07193" w:rsidRPr="005619C8" w:rsidRDefault="00807193" w:rsidP="00D0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7193" w:rsidRPr="005619C8" w:rsidRDefault="00144FA2" w:rsidP="00D030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Условия расторжения договора в отношении бюджетных организаций применяются с учетом положений законодательства, регулирующего закупки товаров (работ, услуг) для обеспечения 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 и муниципальных нужд.</w:t>
            </w:r>
          </w:p>
          <w:p w:rsidR="00807193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sz w:val="20"/>
                <w:szCs w:val="20"/>
              </w:rPr>
              <w:t>В случае если стороной по договору является  исполнитель коммунальной услуги,  приобретающий электрическую энергию для целей оказания коммунальных услуг, он вправе отказаться от исполнения договора энергоснабжения полн</w:t>
            </w:r>
            <w:r w:rsidRPr="005619C8">
              <w:rPr>
                <w:rFonts w:ascii="Arial" w:hAnsi="Arial" w:cs="Arial"/>
                <w:sz w:val="20"/>
                <w:szCs w:val="20"/>
              </w:rPr>
              <w:t>остью  в случае прекращения обязанности предоставлять соответствующую коммунальную услугу, при условии оплаты поставленной до момента расторжения договора электрической энергии в полном объеме и исполнения иных возникших до момента расторжения Договора обя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зательств, в том числе обязательств, возникших вследствие применения мер ответственности за нарушение Договора.            </w:t>
            </w:r>
          </w:p>
          <w:p w:rsidR="00807193" w:rsidRPr="0062265A" w:rsidRDefault="00144FA2" w:rsidP="00D0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Договор </w:t>
            </w:r>
            <w:r w:rsidRPr="00CD1E0A">
              <w:rPr>
                <w:rFonts w:ascii="Arial" w:hAnsi="Arial" w:cs="Arial"/>
                <w:sz w:val="20"/>
                <w:szCs w:val="20"/>
              </w:rPr>
              <w:t>энергоснабжения для физических лиц – потребителей коммунальной услуги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221">
              <w:rPr>
                <w:rFonts w:ascii="Arial" w:hAnsi="Arial" w:cs="Arial"/>
                <w:sz w:val="20"/>
                <w:szCs w:val="20"/>
              </w:rPr>
              <w:t>может</w:t>
            </w:r>
            <w:r>
              <w:rPr>
                <w:rFonts w:ascii="Arial" w:hAnsi="Arial" w:cs="Arial"/>
                <w:sz w:val="20"/>
                <w:szCs w:val="20"/>
              </w:rPr>
              <w:t xml:space="preserve"> быть расторгнут по основаниям,</w:t>
            </w:r>
            <w:r w:rsidRPr="00586221">
              <w:rPr>
                <w:rFonts w:ascii="Arial" w:hAnsi="Arial" w:cs="Arial"/>
                <w:sz w:val="20"/>
                <w:szCs w:val="20"/>
              </w:rPr>
              <w:t xml:space="preserve"> предусмотренным гражданским и жилищным законодательством Российской Федерации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</w:tbl>
    <w:p w:rsidR="004A5029" w:rsidRDefault="004A5029"/>
    <w:sectPr w:rsidR="004A5029" w:rsidSect="00807193">
      <w:footerReference w:type="even" r:id="rId16"/>
      <w:footerReference w:type="default" r:id="rId17"/>
      <w:footerReference w:type="first" r:id="rId18"/>
      <w:pgSz w:w="16838" w:h="11906" w:orient="landscape"/>
      <w:pgMar w:top="1135" w:right="1134" w:bottom="850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A2" w:rsidRDefault="00144FA2">
      <w:pPr>
        <w:spacing w:after="0" w:line="240" w:lineRule="auto"/>
      </w:pPr>
      <w:r>
        <w:separator/>
      </w:r>
    </w:p>
  </w:endnote>
  <w:endnote w:type="continuationSeparator" w:id="0">
    <w:p w:rsidR="00144FA2" w:rsidRDefault="0014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F6" w:rsidRDefault="00144FA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ЭСЗ-Н-2019-0086,  ID:159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F6" w:rsidRDefault="00144FA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802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ЭСЗ-Н-2019-0086,  ID:159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F6" w:rsidRDefault="00144FA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ЭСЗ-Н-2019-0086,  ID:159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A2" w:rsidRDefault="00144FA2">
      <w:pPr>
        <w:spacing w:after="0" w:line="240" w:lineRule="auto"/>
      </w:pPr>
      <w:r>
        <w:separator/>
      </w:r>
    </w:p>
  </w:footnote>
  <w:footnote w:type="continuationSeparator" w:id="0">
    <w:p w:rsidR="00144FA2" w:rsidRDefault="00144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2E"/>
    <w:rsid w:val="00144FA2"/>
    <w:rsid w:val="0038732E"/>
    <w:rsid w:val="00436BAC"/>
    <w:rsid w:val="004A5029"/>
    <w:rsid w:val="005619C8"/>
    <w:rsid w:val="00586221"/>
    <w:rsid w:val="0062265A"/>
    <w:rsid w:val="007337F6"/>
    <w:rsid w:val="00801DC7"/>
    <w:rsid w:val="00807193"/>
    <w:rsid w:val="00CD1E0A"/>
    <w:rsid w:val="00D03090"/>
    <w:rsid w:val="00D91EB8"/>
    <w:rsid w:val="00EC396C"/>
    <w:rsid w:val="00F43AEB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1F262631D990A0672A69D4A670CE9A1F1F19603965301D0177FBB10250A690F684234F070FCA99F0I5wEH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1F262631D990A0672A69D4A670CE9A1F1F19603965301D0177FBB10250A690F684234F070FCA9EF3I5wE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1F262631D990A0672A69D4A670CE9A1F1F19603965301D0177FBB10250A690F684234F070FCA9EF3I5wFH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1F262631D990A0672A69D4A670CE9A1F1F19603965301D0177FBB10250A690F684234F070FCA9EF3I5wEH" TargetMode="External"/><Relationship Id="rId10" Type="http://schemas.openxmlformats.org/officeDocument/2006/relationships/hyperlink" Target="consultantplus://offline/ref=183445B3572225E9DD33A2AC08F96703B5AA0535CEC6EE60D9DD86A8FA771E74D0BC46F88A04C73EI0t1H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1F262631D990A0672A69D4A670CE9A1F1F19603965301D0177FBB10250A690F684234F070FCA9EF3I5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990A59F7873449804990F107AAE81" ma:contentTypeVersion="1" ma:contentTypeDescription="Создание документа." ma:contentTypeScope="" ma:versionID="c9fde1474881345f7755778cc63efe8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E81B6-CDFD-4E8E-9C57-3B09D34DA5A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8E4A5982-1331-4F63-AA4D-BCBE7A23B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D39D0-BB34-4FDA-8EA6-B2C42C1B3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Эсауленко А.В.</dc:creator>
  <cp:lastModifiedBy>Mr</cp:lastModifiedBy>
  <cp:revision>2</cp:revision>
  <dcterms:created xsi:type="dcterms:W3CDTF">2019-04-04T09:12:00Z</dcterms:created>
  <dcterms:modified xsi:type="dcterms:W3CDTF">2019-04-04T09:12:00Z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0x0101002E5990A59F7873449804990F107AAE81</vt:lpwstr>
  </property>
</Properties>
</file>