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§ 6. Энергоснабжение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539. Договор энергоснабжения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 договору энергоснабжения </w:t>
      </w:r>
      <w:hyperlink r:id="rId5" w:history="1">
        <w:r>
          <w:rPr>
            <w:rFonts w:ascii="Calibri" w:hAnsi="Calibri" w:cs="Calibri"/>
            <w:color w:val="0000FF"/>
          </w:rPr>
          <w:t>энергоснабжающая организация</w:t>
        </w:r>
      </w:hyperlink>
      <w:r>
        <w:rPr>
          <w:rFonts w:ascii="Calibri" w:hAnsi="Calibri" w:cs="Calibri"/>
        </w:rPr>
        <w:t xml:space="preserve">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Договор энергоснабжения заключается с абонентом при наличии у </w:t>
      </w:r>
      <w:proofErr w:type="gramStart"/>
      <w:r>
        <w:rPr>
          <w:rFonts w:ascii="Calibri" w:hAnsi="Calibri" w:cs="Calibri"/>
        </w:rPr>
        <w:t>него</w:t>
      </w:r>
      <w:proofErr w:type="gramEnd"/>
      <w:r>
        <w:rPr>
          <w:rFonts w:ascii="Calibri" w:hAnsi="Calibri" w:cs="Calibri"/>
        </w:rPr>
        <w:t xml:space="preserve">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энергии.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отношениям по договору энергоснабжения, не урегулированным настоящим Кодексом, применяются законы и иные правовые акты об энергоснабжении, а также обязательные правила, принятые в соответствии с ними.</w:t>
      </w:r>
      <w:bookmarkStart w:id="0" w:name="_GoBack"/>
      <w:bookmarkEnd w:id="0"/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введен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37-ФЗ)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540. Заключение и продление договора энергоснабжения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7" w:history="1">
        <w:r>
          <w:rPr>
            <w:rFonts w:ascii="Calibri" w:hAnsi="Calibri" w:cs="Calibri"/>
            <w:color w:val="0000FF"/>
          </w:rPr>
          <w:t>статьей 546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Договор энергоснабжения, заключенный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 или изменении либо о заключении нового договора.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Если одной из сторон до окончания срока действия договора внесено предложение о заключении нового договора, то отношения сторон до заключения нового договора регулируются ранее заключенным договором.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541. Количество энергии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Энергоснабжающая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proofErr w:type="gramStart"/>
      <w:r>
        <w:rPr>
          <w:rFonts w:ascii="Calibri" w:hAnsi="Calibri" w:cs="Calibri"/>
        </w:rPr>
        <w:t>а о ее</w:t>
      </w:r>
      <w:proofErr w:type="gramEnd"/>
      <w:r>
        <w:rPr>
          <w:rFonts w:ascii="Calibri" w:hAnsi="Calibri" w:cs="Calibri"/>
        </w:rPr>
        <w:t xml:space="preserve"> фактическом потреблении.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26.03.2003 N 37-ФЗ)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Договором энергоснабжения может быть предусмотрено право абонента изменять количество принимаемой им энергии, определенное договором, при условии возмещения им расходов, понесенных энергоснабжающей организацией в связи с обеспечением подачи энергии не в обусловленном договором количестве.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случае, когда абонентом по договору энергоснабжения выступает гражданин, использующий энергию для бытового потребления, он вправе использовать энергию в необходимом ему количестве.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542. Качество энергии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Качество подаваемой энергии должно соответствовать требованиям, установленным в </w:t>
      </w:r>
      <w:r>
        <w:rPr>
          <w:rFonts w:ascii="Calibri" w:hAnsi="Calibri" w:cs="Calibri"/>
        </w:rPr>
        <w:lastRenderedPageBreak/>
        <w:t>соответствии с законодательством Российской Федерации, в том числе с обязательными правилами, или предусмотренным договором энергоснабжения.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26.03.2003 </w:t>
      </w:r>
      <w:hyperlink r:id="rId9" w:history="1">
        <w:r>
          <w:rPr>
            <w:rFonts w:ascii="Calibri" w:hAnsi="Calibri" w:cs="Calibri"/>
            <w:color w:val="0000FF"/>
          </w:rPr>
          <w:t>N 37-ФЗ</w:t>
        </w:r>
      </w:hyperlink>
      <w:r>
        <w:rPr>
          <w:rFonts w:ascii="Calibri" w:hAnsi="Calibri" w:cs="Calibri"/>
        </w:rPr>
        <w:t xml:space="preserve">, от 19.07.2011 </w:t>
      </w:r>
      <w:hyperlink r:id="rId10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)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нарушения энергоснабжающей организацией требований, предъявляемых к качеству энергии, абонент вправе отказаться от оплаты такой энергии. При этом энергоснабжающая организация вправе требовать возмещения абонентом стоимости того, что абонент неосновательно сберег вследствие использования этой энергии (пункт 2 </w:t>
      </w:r>
      <w:hyperlink r:id="rId11" w:history="1">
        <w:r>
          <w:rPr>
            <w:rFonts w:ascii="Calibri" w:hAnsi="Calibri" w:cs="Calibri"/>
            <w:color w:val="0000FF"/>
          </w:rPr>
          <w:t>статьи 1105).</w:t>
        </w:r>
      </w:hyperlink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543. Обязанности покупателя по содержанию и эксплуатации сетей, приборов и оборудования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энергоснабжающей организации об авариях, о пожарах, неисправностях приборов учета энергии и об иных нарушениях, возникающих при пользовании энергией.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если иное не установлено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или иными правовыми актами.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Требования к техническому состоянию и эксплуатации энергетических сетей, приборов и оборудования, а также порядок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их соблюдением определяются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иными правовыми актами и принятыми в соответствии с ними обязательными правилами.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544. Оплата энергии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</w:t>
      </w:r>
      <w:hyperlink r:id="rId14" w:history="1">
        <w:r>
          <w:rPr>
            <w:rFonts w:ascii="Calibri" w:hAnsi="Calibri" w:cs="Calibri"/>
            <w:color w:val="0000FF"/>
          </w:rPr>
          <w:t>актами</w:t>
        </w:r>
      </w:hyperlink>
      <w:r>
        <w:rPr>
          <w:rFonts w:ascii="Calibri" w:hAnsi="Calibri" w:cs="Calibri"/>
        </w:rPr>
        <w:t xml:space="preserve"> или соглашением сторон.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расчетов за энергию определяется законом, иными правовыми актами или соглашением сторон.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545. Субабонент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Абонент может передавать энергию, принятую им от энергоснабжающей организации через присоединенную сеть, другому лицу </w:t>
      </w:r>
      <w:hyperlink r:id="rId15" w:history="1">
        <w:r>
          <w:rPr>
            <w:rFonts w:ascii="Calibri" w:hAnsi="Calibri" w:cs="Calibri"/>
            <w:color w:val="0000FF"/>
          </w:rPr>
          <w:t>(субабоненту)</w:t>
        </w:r>
      </w:hyperlink>
      <w:r>
        <w:rPr>
          <w:rFonts w:ascii="Calibri" w:hAnsi="Calibri" w:cs="Calibri"/>
        </w:rPr>
        <w:t xml:space="preserve"> только с согласия энергоснабжающей организации.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546. Изменение и расторжение договора энергоснабжения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когда абонентом по договору энергоснабжения выступает гражданин, использующий энергию для бытового потребления,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когда абонентом по договору энергоснабжения выступает юридическое лицо, энергоснабжающая организация вправе отказаться от исполнения договора в одностороннем порядке по основаниям, предусмотренным </w:t>
      </w:r>
      <w:hyperlink r:id="rId16" w:history="1">
        <w:r>
          <w:rPr>
            <w:rFonts w:ascii="Calibri" w:hAnsi="Calibri" w:cs="Calibri"/>
            <w:color w:val="0000FF"/>
          </w:rPr>
          <w:t>статьей 523</w:t>
        </w:r>
      </w:hyperlink>
      <w:r>
        <w:rPr>
          <w:rFonts w:ascii="Calibri" w:hAnsi="Calibri" w:cs="Calibri"/>
        </w:rPr>
        <w:t xml:space="preserve"> настоящего Кодекса, за исключением случаев, установленных законом или иными правовыми </w:t>
      </w:r>
      <w:hyperlink r:id="rId17" w:history="1">
        <w:r>
          <w:rPr>
            <w:rFonts w:ascii="Calibri" w:hAnsi="Calibri" w:cs="Calibri"/>
            <w:color w:val="0000FF"/>
          </w:rPr>
          <w:t>актами</w:t>
        </w:r>
      </w:hyperlink>
      <w:r>
        <w:rPr>
          <w:rFonts w:ascii="Calibri" w:hAnsi="Calibri" w:cs="Calibri"/>
        </w:rPr>
        <w:t>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Перерыв в подаче, прекращение или ограничение подачи энергии допускаются по соглашению сторон, за исключением случаев,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граждан. О перерыве в подаче, </w:t>
      </w:r>
      <w:r>
        <w:rPr>
          <w:rFonts w:ascii="Calibri" w:hAnsi="Calibri" w:cs="Calibri"/>
        </w:rPr>
        <w:lastRenderedPageBreak/>
        <w:t>прекращении или об ограничении подачи энергии энергоснабжающая организация должна предупредить абонента.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Прекращение или ограничение подачи энергии без согласования с абонентом - юридическим лицом,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37-ФЗ)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Перерыв в подаче,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26.03.2003 N 37-ФЗ)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547. Ответственность по договору энергоснабжения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(пункт 2 </w:t>
      </w:r>
      <w:hyperlink r:id="rId20" w:history="1">
        <w:r>
          <w:rPr>
            <w:rFonts w:ascii="Calibri" w:hAnsi="Calibri" w:cs="Calibri"/>
            <w:color w:val="0000FF"/>
          </w:rPr>
          <w:t>статьи 15).</w:t>
        </w:r>
      </w:hyperlink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Если в результате регулирования режима потребления энергии, осуществленного на основании закона или иных правовых актов, допущен перерыв в подаче энергии абоненту, энергоснабжающая организация несет ответственность за неисполнение или ненадлежащее исполнение договорных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 наличии ее вины.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548. Применение правил об энергоснабжении к иным договорам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Правила, предусмотренные </w:t>
      </w:r>
      <w:hyperlink r:id="rId21" w:history="1">
        <w:r>
          <w:rPr>
            <w:rFonts w:ascii="Calibri" w:hAnsi="Calibri" w:cs="Calibri"/>
            <w:color w:val="0000FF"/>
          </w:rPr>
          <w:t>статьями 539</w:t>
        </w:r>
      </w:hyperlink>
      <w:r>
        <w:rPr>
          <w:rFonts w:ascii="Calibri" w:hAnsi="Calibri" w:cs="Calibri"/>
        </w:rPr>
        <w:t xml:space="preserve"> - </w:t>
      </w:r>
      <w:hyperlink r:id="rId22" w:history="1">
        <w:r>
          <w:rPr>
            <w:rFonts w:ascii="Calibri" w:hAnsi="Calibri" w:cs="Calibri"/>
            <w:color w:val="0000FF"/>
          </w:rPr>
          <w:t>547</w:t>
        </w:r>
      </w:hyperlink>
      <w:r>
        <w:rPr>
          <w:rFonts w:ascii="Calibri" w:hAnsi="Calibri" w:cs="Calibri"/>
        </w:rPr>
        <w:t xml:space="preserve">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 отношениям, связанным со снабжением через присоединенную сеть газом, нефтью и нефтепродуктами, водой и другими товарами, правила о договоре энергоснабжения </w:t>
      </w:r>
      <w:hyperlink r:id="rId23" w:history="1">
        <w:r>
          <w:rPr>
            <w:rFonts w:ascii="Calibri" w:hAnsi="Calibri" w:cs="Calibri"/>
            <w:color w:val="0000FF"/>
          </w:rPr>
          <w:t>(статьи 539</w:t>
        </w:r>
      </w:hyperlink>
      <w:r>
        <w:rPr>
          <w:rFonts w:ascii="Calibri" w:hAnsi="Calibri" w:cs="Calibri"/>
        </w:rPr>
        <w:t xml:space="preserve"> - </w:t>
      </w:r>
      <w:hyperlink r:id="rId24" w:history="1">
        <w:r>
          <w:rPr>
            <w:rFonts w:ascii="Calibri" w:hAnsi="Calibri" w:cs="Calibri"/>
            <w:color w:val="0000FF"/>
          </w:rPr>
          <w:t>547)</w:t>
        </w:r>
      </w:hyperlink>
      <w:r>
        <w:rPr>
          <w:rFonts w:ascii="Calibri" w:hAnsi="Calibri" w:cs="Calibri"/>
        </w:rPr>
        <w:t xml:space="preserve"> применяются, если иное не установлено законом, иными правовыми актами или не вытекает из существа обязательства.</w:t>
      </w:r>
    </w:p>
    <w:p w:rsidR="00796F8B" w:rsidRDefault="00796F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hyperlink r:id="rId25" w:history="1">
        <w:proofErr w:type="gramStart"/>
        <w:r>
          <w:rPr>
            <w:rFonts w:ascii="Calibri" w:hAnsi="Calibri" w:cs="Calibri"/>
            <w:i/>
            <w:iCs/>
            <w:color w:val="0000FF"/>
          </w:rPr>
          <w:t>г</w:t>
        </w:r>
        <w:proofErr w:type="gramEnd"/>
        <w:r>
          <w:rPr>
            <w:rFonts w:ascii="Calibri" w:hAnsi="Calibri" w:cs="Calibri"/>
            <w:i/>
            <w:iCs/>
            <w:color w:val="0000FF"/>
          </w:rPr>
          <w:t>л. 30, "Гражданский кодекс Российской Федерации (часть вторая)" от 26.01.1996 N 14-ФЗ (ред. от 30.11.2011) {КонсультантПлюс}</w:t>
        </w:r>
      </w:hyperlink>
      <w:r>
        <w:rPr>
          <w:rFonts w:ascii="Calibri" w:hAnsi="Calibri" w:cs="Calibri"/>
        </w:rPr>
        <w:br/>
      </w:r>
    </w:p>
    <w:p w:rsidR="00825C7F" w:rsidRDefault="00825C7F"/>
    <w:sectPr w:rsidR="00825C7F" w:rsidSect="00E6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B"/>
    <w:rsid w:val="00121DE2"/>
    <w:rsid w:val="00796F8B"/>
    <w:rsid w:val="00825C7F"/>
    <w:rsid w:val="00A3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8C41956599339465F985301ADC68DC20E60ED4BA11650A68DBAAD5A1415C8ED27D108C5DF94K2iCK" TargetMode="External"/><Relationship Id="rId13" Type="http://schemas.openxmlformats.org/officeDocument/2006/relationships/hyperlink" Target="consultantplus://offline/ref=97DBE653EB266C23068ACFFC6615EBB7426C12DD096AA8BA3753DEA1A0A51ADCFAC693BD6D2128BAL7i9K" TargetMode="External"/><Relationship Id="rId18" Type="http://schemas.openxmlformats.org/officeDocument/2006/relationships/hyperlink" Target="consultantplus://offline/ref=97DBE653EB266C23068ACFFC6615EBB7476E17D30965F5B03F0AD2A3A7AA45CBFD8F9FBC6D2128LBiB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DBE653EB266C23068ACFFC6615EBB7426D11D60B6AA8BA3753DEA1A0A51ADCFAC693BD6D212AB6L7iFK" TargetMode="External"/><Relationship Id="rId7" Type="http://schemas.openxmlformats.org/officeDocument/2006/relationships/hyperlink" Target="consultantplus://offline/ref=3818C41956599339465F985301ADC68DC70D66E849AE4B5AAED4B6AF5D1B4ADFEA6EDD09C5DF912CK6i9K" TargetMode="External"/><Relationship Id="rId12" Type="http://schemas.openxmlformats.org/officeDocument/2006/relationships/hyperlink" Target="consultantplus://offline/ref=3818C41956599339465F985301ADC68DC70C66EF4DA24B5AAED4B6AF5D1B4ADFEA6EDD09C5DF9429K6iAK" TargetMode="External"/><Relationship Id="rId17" Type="http://schemas.openxmlformats.org/officeDocument/2006/relationships/hyperlink" Target="consultantplus://offline/ref=97DBE653EB266C23068ACFFC6615EBB740691AD60B65F5B03F0AD2A3LAi7K" TargetMode="External"/><Relationship Id="rId25" Type="http://schemas.openxmlformats.org/officeDocument/2006/relationships/hyperlink" Target="consultantplus://offline/ref=97DBE653EB266C23068ACFFC6615EBB7426D11D60B6AA8BA3753DEA1A0A51ADCFAC693BD6D212AB6L7i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DBE653EB266C23068ACFFC6615EBB7426D11D60B6AA8BA3753DEA1A0A51ADCFAC693BD6D212ABEL7i9K" TargetMode="External"/><Relationship Id="rId20" Type="http://schemas.openxmlformats.org/officeDocument/2006/relationships/hyperlink" Target="consultantplus://offline/ref=97DBE653EB266C23068ACFFC6615EBB7426D11DC0E6CA8BA3753DEA1A0A51ADCFAC693BD6D2129B6L7i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8C41956599339465F985301ADC68DC20E60ED4BA11650A68DBAAD5A1415C8ED27D108C5DF95K2i4K" TargetMode="External"/><Relationship Id="rId11" Type="http://schemas.openxmlformats.org/officeDocument/2006/relationships/hyperlink" Target="consultantplus://offline/ref=3818C41956599339465F985301ADC68DC70D66E849AE4B5AAED4B6AF5D1B4ADFEA6EDD09C5DD9225K6iAK" TargetMode="External"/><Relationship Id="rId24" Type="http://schemas.openxmlformats.org/officeDocument/2006/relationships/hyperlink" Target="consultantplus://offline/ref=97DBE653EB266C23068ACFFC6615EBB7426D11D60B6AA8BA3753DEA1A0A51ADCFAC693BD6D212DBDL7iFK" TargetMode="External"/><Relationship Id="rId5" Type="http://schemas.openxmlformats.org/officeDocument/2006/relationships/hyperlink" Target="consultantplus://offline/ref=3818C41956599339465F985301ADC68DC70D66EC4FA11650A68DBAAD5A1415C8ED27D108C5DF93K2i4K" TargetMode="External"/><Relationship Id="rId15" Type="http://schemas.openxmlformats.org/officeDocument/2006/relationships/hyperlink" Target="consultantplus://offline/ref=97DBE653EB266C23068ACFFC6615EBB74A6D15D60765F5B03F0AD2A3A7AA45CBFD8F9FBC6D212DLBiFK" TargetMode="External"/><Relationship Id="rId23" Type="http://schemas.openxmlformats.org/officeDocument/2006/relationships/hyperlink" Target="consultantplus://offline/ref=97DBE653EB266C23068ACFFC6615EBB7426D11D60B6AA8BA3753DEA1A0A51ADCFAC693BD6D212AB6L7iFK" TargetMode="External"/><Relationship Id="rId10" Type="http://schemas.openxmlformats.org/officeDocument/2006/relationships/hyperlink" Target="consultantplus://offline/ref=3818C41956599339465F985301ADC68DC70E62E344A34B5AAED4B6AF5D1B4ADFEA6EDD09C5DF9525K6iCK" TargetMode="External"/><Relationship Id="rId19" Type="http://schemas.openxmlformats.org/officeDocument/2006/relationships/hyperlink" Target="consultantplus://offline/ref=97DBE653EB266C23068ACFFC6615EBB7476E17D30965F5B03F0AD2A3A7AA45CBFD8F9FBC6D2128LBi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8C41956599339465F985301ADC68DC20E60ED4BA11650A68DBAAD5A1415C8ED27D108C5DF94K2iFK" TargetMode="External"/><Relationship Id="rId14" Type="http://schemas.openxmlformats.org/officeDocument/2006/relationships/hyperlink" Target="consultantplus://offline/ref=97DBE653EB266C23068ACFFC6615EBB7426C17D1086DA8BA3753DEA1A0A51ADCFAC693BD6D2129B8L7iCK" TargetMode="External"/><Relationship Id="rId22" Type="http://schemas.openxmlformats.org/officeDocument/2006/relationships/hyperlink" Target="consultantplus://offline/ref=97DBE653EB266C23068ACFFC6615EBB7426D11D60B6AA8BA3753DEA1A0A51ADCFAC693BD6D212DBDL7iF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Олеся Анатольевна</dc:creator>
  <cp:lastModifiedBy>Трифонова Олеся Анатольевна</cp:lastModifiedBy>
  <cp:revision>1</cp:revision>
  <dcterms:created xsi:type="dcterms:W3CDTF">2012-09-20T10:34:00Z</dcterms:created>
  <dcterms:modified xsi:type="dcterms:W3CDTF">2012-09-20T10:35:00Z</dcterms:modified>
</cp:coreProperties>
</file>